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A0" w:rsidRPr="00166BA0" w:rsidRDefault="00166BA0" w:rsidP="00166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Библиографический указатель</w:t>
      </w:r>
    </w:p>
    <w:p w:rsidR="00166BA0" w:rsidRPr="00166BA0" w:rsidRDefault="00166BA0" w:rsidP="00166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«Актуальные проблемы организации питания детей в системе образования»</w:t>
      </w:r>
    </w:p>
    <w:p w:rsidR="00166BA0" w:rsidRPr="00166BA0" w:rsidRDefault="00166BA0" w:rsidP="00166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федеральных требований к образовательным учреждениям в части охраны здоровья обучающихся, воспитанников: Приказ Министерства образования и науки РФ от 28.12.2010г. № 2106 // Официальные документы в образовании, 2011, №10, с. 49-56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к организациям общественного питания, обслуживающим общеобразовательные учреждения // Справочник руководителя образовательного учреждения, 2012, №3, с. 77-81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формировании 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культуры здорового питания обучающихся, воспитанников: Письмо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12.04.2012 г. №06-731 // ОБЖ, 2012, №5, с. 51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Санитарные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нормы и правила в общественном питании и продовольственной торговле. – М.: КНОРУС, 2013. – 128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Модернизация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 питания в образовательном учреждении //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Директ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>-папка «Менеджер образования, 2009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Совершенствование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школьного питания // Библиотечка журнала «Вестник образования», 2011, №7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7.  </w:t>
      </w:r>
      <w:proofErr w:type="spellStart"/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Кадневский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В.М.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Школьное питание сохраняет здоровье наших детей // Народное образование, 2012, №7, с. 125-130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Боровик В.Г.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Как оборудовать школьный пищеблок // Народное образование, 2012, №7, с. 131-137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spellStart"/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Шамаева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А.М.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Питание школьников – серьезная управленческая задача // Народное образование, 2010, №10, с. 146-152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Труханова И.А.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Разговор о правильном питании // Начальная школа, 2011, №9, с. 86-89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Рубина Е.А.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Санитария и гигиена питания: Учебное пособие для студентов вузов. – М.: Изд. центр «Академия», 2005.- 288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Организация 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>рационального питания детей в ДОУ</w:t>
      </w:r>
      <w:proofErr w:type="gram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/С</w:t>
      </w:r>
      <w:proofErr w:type="gram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ост.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Беленова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Г.И., Павлова Т.А. – Воронеж: ЧП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Лакоценин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С.С., 2007. – 208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Лещенко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М.В.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Питание детей в дошкольном образовательном учреждении: Пособие для руководителей и педагогов / М.В. Лещенко, И.А.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Прилепина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; под ред. В.А.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Доскина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>. – М.: Просвещение, 2007. – 80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Белякова Л.М.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От здорового питания – к здоровому поколению // Наука и практика воспитания и дополнительного образования, 2012, №7, с. 45-50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15. </w:t>
      </w:r>
      <w:proofErr w:type="spellStart"/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Легкошур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Школьная столовая // Директор школы, 2013, №5, с. 87-94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Медико-профилактические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основы работы общеобразовательных учреждений / В.Р. Кучма, Л.М. Сухарева, М.И. Степанова и др.; под ред. В.Р. Кучмы, М.И. Степановой. – М.: Просвещение, 2013. – 110 с. – (Работаем по новым стандартам)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Экспресс-курс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повара / Авт. </w:t>
      </w:r>
      <w:proofErr w:type="gram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-с</w:t>
      </w:r>
      <w:proofErr w:type="gram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>ост. В. Полякова. – Ростов н</w:t>
      </w:r>
      <w:proofErr w:type="gram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/Д</w:t>
      </w:r>
      <w:proofErr w:type="gram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>: Феникс, 2001. – 448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proofErr w:type="spellStart"/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Дубцов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Г.Г.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Технология приготовления пищи: Учебное пособие для среднего профессионального образования: Учебное пособие для начального профессионального образования. – 4-е изд., стереотип. – М.: Изд. центр «Академия», 2006. – 272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Калинина В.М.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Техническое оснащение и охрана труда в общественном питании: Учебник для среднего профессионального образования: Учебное пособие для начального профессионального образования. – 3-е изд., стереотип. – М.: Изд. центр «Академия», 2004. – 432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Кузнецова Л.С.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Технология приготовления мучных кондитерских изделий: Учебник для студентов учреждений среднего профессионального образования / Л.С. Кузнецова, М.Ю.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Сиданова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. – 3-е изд.,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испр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>. – М.: Изд. центр «академия», 2007. – 320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proofErr w:type="spellStart"/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Мартинчик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А.Н.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Физиология питания, санитария и гигиена: Учебное пособие для студентов учреждений среднего профессионального образования: Учебное пособие для общеобразовательных учреждений начального профессионального образования / А.Н.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Мартинчик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>, А.А. Королев, Л.С. Трофименко. – 3-е изд., стереотип. – М.: Изд. центр «Академия», 2004. – 192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proofErr w:type="spellStart"/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Кадневский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В.М.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Горячее питание: укрепляем здоровье школьников // Народное образование, 2010, №1, с. 160-164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Боровик В.Г.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Оборудование школьного пищеблока // Управление образованием, 2013, №1, с. 57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Гуров В.А.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Здоровое питание для младших школьников // Управление образованием, 2012, №2, с. 54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25. </w:t>
      </w:r>
      <w:proofErr w:type="spellStart"/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Маталыгина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О.А.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Основы питания детей дошкольного возраста // Дошкольная педагогика, 2012, №4, с. 4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26.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Дитрих Л.А.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«Питательные и воспитательные» задачи школы // Журнал руководителя управления образованием, 2012, №1-2, с. 24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27.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Дополнительная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витаминизация, здоровье, развитие и успеваемость детей // Справочник руководителя образовательного учреждения, 2009, №4, с. 75-79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28. </w:t>
      </w:r>
      <w:proofErr w:type="spellStart"/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Нигматуллина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М.Г.,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Десятниченко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Н. Организация работы по сохранению и укреплению здоровья школьников // Практика административной работы в школе, 2009, №1, с. 59-61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29.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Баранова С.В.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Учет расходов на питание учащихся // Справочник руководителя образовательного учреждения, 2009, «5, с. 58-65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30.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Вифлеемский А.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Льготное питание работников летних оздоровительных лагерей // Народное образование, 2008, №3, с. 109-114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31.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Онищенко Г.Г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Гутельян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В.А. Здоровое питание недорого // ОБЖ, 2009, №3,  с. 22-31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>Гуров В.А. Здоровое питание младших школьников // Народное образование, 2011, №9, с. 134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32.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Журавлева О.С.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Заключение государственного контракта на оказание услуг по организации питания обучающихся, воспитанников // Справочник руководителя образовательного учреждения, 2012, №5, с. 6-23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33. </w:t>
      </w:r>
      <w:proofErr w:type="spellStart"/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Кадневский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В.М.,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Долгушева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Л.Н. Омский опыт реформирования школьного питания // Управление образованием, 2013, №1, с. 51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34.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Соколова Е.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Как питаешься, так и улыбаешься // Дошкольное воспитание, 2013, №6, с. 18-25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35. </w:t>
      </w:r>
      <w:proofErr w:type="spellStart"/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Еремкин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В.В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>., Васина О.С. Автоматизация оплаты школьного питания // Журнал руководителя управления образованием, 2013, №5, с. 63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36.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Курганский С.М.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и контроль </w:t>
      </w:r>
      <w:proofErr w:type="gram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качества питания школьников // Практика административной работы</w:t>
      </w:r>
      <w:proofErr w:type="gram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в школе, 2011, №4, с. 9-20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37.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Никифоров Г.С.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Психология здоровья: Учебное пособие. – СПб</w:t>
      </w:r>
      <w:proofErr w:type="gram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.: </w:t>
      </w:r>
      <w:proofErr w:type="gram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>Речь, 2002. – 256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38.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Алексеева А.С.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питания детей в дошкольных учреждениях: Пособие для воспитателя детского сада. – М.: Просвещение, 1990. – 208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39. </w:t>
      </w:r>
      <w:proofErr w:type="spellStart"/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Кисляковская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В.Г.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Питание детей раннего и дошкольного возраста: Пособие для воспитателя детского сада. – М.: Просвещение, 1983. – 208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40. </w:t>
      </w:r>
      <w:proofErr w:type="gramStart"/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Могильный</w:t>
      </w:r>
      <w:proofErr w:type="gram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М.П.,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Калашнова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Т.В.,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Баласанян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А.Ю. Оборудование предприятий общественного питания: Тепловое оборудование: Учебное пособие для студентов вузов</w:t>
      </w:r>
      <w:proofErr w:type="gram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/ П</w:t>
      </w:r>
      <w:proofErr w:type="gram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>од ред. М.П. Могильного. – 2-е изд., стереотип. – М.: Изд. центр «Академия»,  2005. – 192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41.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Подольский В.И.,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Бурдюгова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О.М.  Бухгалтерский учет в общественном питании: Учебник для студентов средних профессиональных учебных заведений. – М.: Изд. центр «Академия», 2004. – 304 с.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42. </w:t>
      </w:r>
      <w:proofErr w:type="spellStart"/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Вайнер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Э.Н.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Валеологические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основы рационального питания // ОБЖ, 2011, №7, с. 39-45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43.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Правильный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питьевой режим современного школьника как один из реальных путей сохранения здоровья // Учитель, 2011, №6, с. 87</w:t>
      </w:r>
    </w:p>
    <w:p w:rsidR="00166BA0" w:rsidRPr="00166BA0" w:rsidRDefault="00166BA0" w:rsidP="0016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44. </w:t>
      </w:r>
      <w:r w:rsidRPr="00166B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Школьное</w:t>
      </w:r>
      <w:r w:rsidRPr="00166BA0">
        <w:rPr>
          <w:rFonts w:ascii="Arial" w:eastAsia="Times New Roman" w:hAnsi="Arial" w:cs="Arial"/>
          <w:sz w:val="24"/>
          <w:szCs w:val="24"/>
          <w:lang w:eastAsia="ru-RU"/>
        </w:rPr>
        <w:t xml:space="preserve"> питание: организация, доступность, качество: Сборник материалов региональной научно-практической конференции / БелИРО. – Белгород: ООО </w:t>
      </w:r>
      <w:proofErr w:type="spellStart"/>
      <w:r w:rsidRPr="00166BA0">
        <w:rPr>
          <w:rFonts w:ascii="Arial" w:eastAsia="Times New Roman" w:hAnsi="Arial" w:cs="Arial"/>
          <w:sz w:val="24"/>
          <w:szCs w:val="24"/>
          <w:lang w:eastAsia="ru-RU"/>
        </w:rPr>
        <w:t>КиК</w:t>
      </w:r>
      <w:proofErr w:type="spellEnd"/>
      <w:r w:rsidRPr="00166BA0">
        <w:rPr>
          <w:rFonts w:ascii="Arial" w:eastAsia="Times New Roman" w:hAnsi="Arial" w:cs="Arial"/>
          <w:sz w:val="24"/>
          <w:szCs w:val="24"/>
          <w:lang w:eastAsia="ru-RU"/>
        </w:rPr>
        <w:t>, 2013.- 132 с.</w:t>
      </w:r>
    </w:p>
    <w:p w:rsidR="00166BA0" w:rsidRPr="00166BA0" w:rsidRDefault="00166BA0" w:rsidP="00166B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011"/>
        <w:gridCol w:w="8454"/>
      </w:tblGrid>
      <w:tr w:rsidR="00166BA0" w:rsidRPr="00166BA0" w:rsidTr="00166BA0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Э.</w:t>
            </w: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   Здоровое питание школьника. - М.: </w:t>
            </w:r>
            <w:proofErr w:type="spell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- 320 с.: ил. - (Лакомка). - ISBN 978-5-699-44000-9.</w:t>
            </w:r>
          </w:p>
        </w:tc>
      </w:tr>
      <w:tr w:rsidR="00166BA0" w:rsidRPr="00166BA0" w:rsidTr="00166BA0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требования к организации питания детей в дошкольных организациях</w:t>
            </w:r>
            <w:proofErr w:type="gram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Н.Ю. Синельников. - 4-е изд., </w:t>
            </w:r>
            <w:proofErr w:type="spell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М.: АРКТИ, 2013. - 120 с. - (Управление дошкольным учреждением). - ISBN 978-5-89415-860-0.</w:t>
            </w:r>
          </w:p>
        </w:tc>
      </w:tr>
      <w:tr w:rsidR="00166BA0" w:rsidRPr="00166BA0" w:rsidTr="00166BA0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Мартинчик</w:t>
            </w:r>
            <w:proofErr w:type="spellEnd"/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А.Н.</w:t>
            </w: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   Физиология питания: Учебник для студентов учреждений среднего профессионального образования. - М.: Изд. центр "Академия", 2013. - 240 с. - (СПО). - </w:t>
            </w:r>
            <w:proofErr w:type="spell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232-233. - ISBN 978-5-7695-9591-2.</w:t>
            </w:r>
          </w:p>
        </w:tc>
      </w:tr>
      <w:tr w:rsidR="00166BA0" w:rsidRPr="00166BA0" w:rsidTr="00166BA0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Демидова В.Е.</w:t>
            </w: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   Здоровый педагог - здоровый ребенок. Культура питания и закаливания: Практическое руководство для воспитателей, учителей, руководителей образовательных организаций, родителей. - М.: Цветной мир, 2013. - 96 с.: ил. - (Современный педагог и семья). - </w:t>
            </w:r>
            <w:proofErr w:type="spell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88-90. - ISBN 978-5-4310-0053-9.</w:t>
            </w:r>
          </w:p>
        </w:tc>
      </w:tr>
      <w:tr w:rsidR="00166BA0" w:rsidRPr="00166BA0" w:rsidTr="00166BA0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Региональная </w:t>
            </w:r>
            <w:proofErr w:type="spellStart"/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площадка по обучению специалистов, обеспечивающих совершенствование организации школьного питания и формирования культуры здорового питания </w:t>
            </w:r>
            <w:proofErr w:type="gramStart"/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обучающихся. 2014 год</w:t>
            </w: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Сборник нормативных и методических материалов</w:t>
            </w:r>
            <w:proofErr w:type="gram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</w:t>
            </w:r>
            <w:proofErr w:type="gram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коллегия: Богачева Е.А., Корнилова Е.А., Середа Н.С. и др.; БелИРО. - Белгород: БелИРО, 2014. - 82 с.</w:t>
            </w:r>
          </w:p>
        </w:tc>
      </w:tr>
      <w:tr w:rsidR="00166BA0" w:rsidRPr="00166BA0" w:rsidTr="00166BA0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культуры здорового питания у </w:t>
            </w:r>
            <w:proofErr w:type="gramStart"/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Материалы региональной научно-практической конференции / БелИРО. - Белгород: ООО "</w:t>
            </w:r>
            <w:proofErr w:type="spell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</w:t>
            </w:r>
            <w:proofErr w:type="spell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2014. - 90 с.</w:t>
            </w:r>
          </w:p>
        </w:tc>
      </w:tr>
      <w:tr w:rsidR="00166BA0" w:rsidRPr="00166BA0" w:rsidTr="00166BA0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конкурс методик реализации программы "Разговор о правильном питании"</w:t>
            </w: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Сборник материалов победителей и призеров областного конкурса / БелИРО; сост. Е.А. Богачева, Л.Н. </w:t>
            </w:r>
            <w:proofErr w:type="spell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Реунова</w:t>
            </w:r>
            <w:proofErr w:type="spell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Белгород: Издательство БелИРО, 2015. - 136 с.</w:t>
            </w:r>
          </w:p>
        </w:tc>
      </w:tr>
      <w:tr w:rsidR="00166BA0" w:rsidRPr="00166BA0" w:rsidTr="00166BA0">
        <w:trPr>
          <w:tblCellSpacing w:w="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Царенко Н.</w:t>
            </w: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   "Я не хочу кушать!", или В поисках детского аппетита. - Ростов н</w:t>
            </w:r>
            <w:proofErr w:type="gram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Феникс, 2015. - 124 с. - (Психологический практикум). - </w:t>
            </w:r>
            <w:proofErr w:type="spell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123. - ISBN 978-5-222-24607-8.</w:t>
            </w:r>
          </w:p>
        </w:tc>
      </w:tr>
      <w:tr w:rsidR="00166BA0" w:rsidRPr="00166BA0" w:rsidTr="00166BA0">
        <w:trPr>
          <w:tblCellSpacing w:w="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контроль питания в ДОО</w:t>
            </w: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Нормативно-правовая база</w:t>
            </w:r>
            <w:proofErr w:type="gram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М.А. Ермоловой. - М.: Национальный книжный центр, 2015. - 112 с. - (Управление образованием). - </w:t>
            </w:r>
            <w:proofErr w:type="spell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110-111. - ISBN 978-5-904827-24-3.</w:t>
            </w:r>
          </w:p>
        </w:tc>
      </w:tr>
      <w:tr w:rsidR="00166BA0" w:rsidRPr="00166BA0" w:rsidTr="00166BA0">
        <w:trPr>
          <w:tblCellSpacing w:w="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формирования здоровья детей</w:t>
            </w: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/ А.С. Калмыкова и др.; под ред. А.С. Калмыковой. - М.: ГЭОТАР-Медиа, 2015. - 384 с.: ил. - </w:t>
            </w:r>
            <w:proofErr w:type="spell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374-377. - ISBN 978-5-9704-3390-4.</w:t>
            </w:r>
          </w:p>
        </w:tc>
      </w:tr>
      <w:tr w:rsidR="00166BA0" w:rsidRPr="00166BA0" w:rsidTr="00166BA0">
        <w:trPr>
          <w:tblCellSpacing w:w="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BA0" w:rsidRPr="00166BA0" w:rsidRDefault="00166BA0" w:rsidP="00166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Санитарно-эпидемиологические требования к устройству, содержанию и организации режима работы образовательной организации</w:t>
            </w:r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Комментарии специалиста к СанПиН. Шаблоны и презентация в электронном приложении</w:t>
            </w:r>
            <w:proofErr w:type="gram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вт.-сост. Н.Н. </w:t>
            </w:r>
            <w:proofErr w:type="spellStart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Куклева</w:t>
            </w:r>
            <w:proofErr w:type="spellEnd"/>
            <w:r w:rsidRPr="001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Волгоград: Учитель, 2016. - 46 с. - ISBN 978-5-7057-4433-6.</w:t>
            </w:r>
          </w:p>
        </w:tc>
      </w:tr>
    </w:tbl>
    <w:p w:rsidR="00166BA0" w:rsidRPr="00166BA0" w:rsidRDefault="00166BA0" w:rsidP="00166B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Default="00387B8D">
      <w:bookmarkStart w:id="0" w:name="_GoBack"/>
      <w:bookmarkEnd w:id="0"/>
    </w:p>
    <w:sectPr w:rsidR="0038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A0"/>
    <w:rsid w:val="00166BA0"/>
    <w:rsid w:val="00387B8D"/>
    <w:rsid w:val="005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3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3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7827</Characters>
  <Application>Microsoft Office Word</Application>
  <DocSecurity>0</DocSecurity>
  <Lines>65</Lines>
  <Paragraphs>18</Paragraphs>
  <ScaleCrop>false</ScaleCrop>
  <Company>ректор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Емельянова</dc:creator>
  <cp:keywords/>
  <dc:description/>
  <cp:lastModifiedBy>Ю.В. Емельянова</cp:lastModifiedBy>
  <cp:revision>1</cp:revision>
  <dcterms:created xsi:type="dcterms:W3CDTF">2016-10-13T11:20:00Z</dcterms:created>
  <dcterms:modified xsi:type="dcterms:W3CDTF">2016-10-13T11:20:00Z</dcterms:modified>
</cp:coreProperties>
</file>